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150"/>
        <w:gridCol w:w="8400"/>
        <w:gridCol w:w="150"/>
      </w:tblGrid>
      <w:tr w:rsidR="006B0710" w:rsidTr="006B0710">
        <w:trPr>
          <w:trHeight w:val="100"/>
          <w:jc w:val="center"/>
        </w:trPr>
        <w:tc>
          <w:tcPr>
            <w:tcW w:w="150" w:type="dxa"/>
            <w:vAlign w:val="center"/>
            <w:hideMark/>
          </w:tcPr>
          <w:p w:rsidR="006B0710" w:rsidRDefault="006B0710"/>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6B0710">
              <w:trPr>
                <w:trHeight w:val="10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6B0710">
                    <w:trPr>
                      <w:trHeight w:val="240"/>
                    </w:trPr>
                    <w:tc>
                      <w:tcPr>
                        <w:tcW w:w="5000" w:type="pct"/>
                        <w:gridSpan w:val="2"/>
                        <w:vAlign w:val="center"/>
                        <w:hideMark/>
                      </w:tcPr>
                      <w:p w:rsidR="006B0710" w:rsidRDefault="006B0710">
                        <w:pPr>
                          <w:rPr>
                            <w:rFonts w:ascii="Times New Roman" w:eastAsia="Times New Roman" w:hAnsi="Times New Roman" w:cs="Times New Roman"/>
                            <w:sz w:val="20"/>
                            <w:szCs w:val="20"/>
                          </w:rPr>
                        </w:pPr>
                      </w:p>
                    </w:tc>
                  </w:tr>
                  <w:tr w:rsidR="006B0710">
                    <w:tc>
                      <w:tcPr>
                        <w:tcW w:w="0" w:type="auto"/>
                        <w:vAlign w:val="center"/>
                        <w:hideMark/>
                      </w:tcPr>
                      <w:tbl>
                        <w:tblPr>
                          <w:tblW w:w="0" w:type="auto"/>
                          <w:tblCellMar>
                            <w:left w:w="0" w:type="dxa"/>
                            <w:right w:w="0" w:type="dxa"/>
                          </w:tblCellMar>
                          <w:tblLook w:val="04A0" w:firstRow="1" w:lastRow="0" w:firstColumn="1" w:lastColumn="0" w:noHBand="0" w:noVBand="1"/>
                        </w:tblPr>
                        <w:tblGrid>
                          <w:gridCol w:w="2908"/>
                          <w:gridCol w:w="5486"/>
                        </w:tblGrid>
                        <w:tr w:rsidR="006B0710">
                          <w:tc>
                            <w:tcPr>
                              <w:tcW w:w="0" w:type="auto"/>
                              <w:tcMar>
                                <w:top w:w="0" w:type="dxa"/>
                                <w:left w:w="0" w:type="dxa"/>
                                <w:bottom w:w="0" w:type="dxa"/>
                                <w:right w:w="75" w:type="dxa"/>
                              </w:tcMar>
                              <w:vAlign w:val="center"/>
                              <w:hideMark/>
                            </w:tcPr>
                            <w:p w:rsidR="006B0710" w:rsidRDefault="006B0710">
                              <w:r>
                                <w:rPr>
                                  <w:noProof/>
                                </w:rPr>
                                <w:drawing>
                                  <wp:inline distT="0" distB="0" distL="0" distR="0">
                                    <wp:extent cx="1798955" cy="517525"/>
                                    <wp:effectExtent l="0" t="0" r="0" b="0"/>
                                    <wp:docPr id="1" name="Picture 1" descr="Buckingham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inghamshire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955" cy="517525"/>
                                            </a:xfrm>
                                            <a:prstGeom prst="rect">
                                              <a:avLst/>
                                            </a:prstGeom>
                                            <a:noFill/>
                                            <a:ln>
                                              <a:noFill/>
                                            </a:ln>
                                          </pic:spPr>
                                        </pic:pic>
                                      </a:graphicData>
                                    </a:graphic>
                                  </wp:inline>
                                </w:drawing>
                              </w:r>
                            </w:p>
                          </w:tc>
                          <w:tc>
                            <w:tcPr>
                              <w:tcW w:w="5000" w:type="pct"/>
                              <w:vAlign w:val="center"/>
                              <w:hideMark/>
                            </w:tcPr>
                            <w:p w:rsidR="006B0710" w:rsidRDefault="006B0710"/>
                          </w:tc>
                        </w:tr>
                      </w:tbl>
                      <w:p w:rsidR="006B0710" w:rsidRDefault="006B0710">
                        <w:pPr>
                          <w:rPr>
                            <w:rFonts w:ascii="Times New Roman" w:eastAsia="Times New Roman" w:hAnsi="Times New Roman" w:cs="Times New Roman"/>
                            <w:sz w:val="20"/>
                            <w:szCs w:val="20"/>
                          </w:rPr>
                        </w:pPr>
                      </w:p>
                    </w:tc>
                    <w:tc>
                      <w:tcPr>
                        <w:tcW w:w="0" w:type="auto"/>
                        <w:vAlign w:val="center"/>
                        <w:hideMark/>
                      </w:tcPr>
                      <w:p w:rsidR="006B0710" w:rsidRDefault="006B0710">
                        <w:pPr>
                          <w:rPr>
                            <w:rFonts w:ascii="Times New Roman" w:eastAsia="Times New Roman" w:hAnsi="Times New Roman" w:cs="Times New Roman"/>
                            <w:sz w:val="20"/>
                            <w:szCs w:val="20"/>
                          </w:rPr>
                        </w:pPr>
                      </w:p>
                    </w:tc>
                  </w:tr>
                </w:tbl>
                <w:p w:rsidR="006B0710" w:rsidRDefault="006B0710">
                  <w:pPr>
                    <w:rPr>
                      <w:rFonts w:ascii="Times New Roman" w:eastAsia="Times New Roman" w:hAnsi="Times New Roman" w:cs="Times New Roman"/>
                      <w:sz w:val="20"/>
                      <w:szCs w:val="20"/>
                    </w:rPr>
                  </w:pPr>
                </w:p>
              </w:tc>
            </w:tr>
          </w:tbl>
          <w:p w:rsidR="006B0710" w:rsidRDefault="006B0710">
            <w:pPr>
              <w:jc w:val="center"/>
              <w:rPr>
                <w:rFonts w:ascii="Times New Roman" w:eastAsia="Times New Roman" w:hAnsi="Times New Roman" w:cs="Times New Roman"/>
                <w:sz w:val="20"/>
                <w:szCs w:val="20"/>
              </w:rPr>
            </w:pPr>
          </w:p>
        </w:tc>
        <w:tc>
          <w:tcPr>
            <w:tcW w:w="150" w:type="dxa"/>
            <w:vAlign w:val="center"/>
            <w:hideMark/>
          </w:tcPr>
          <w:p w:rsidR="006B0710" w:rsidRDefault="006B0710">
            <w:pPr>
              <w:rPr>
                <w:rFonts w:ascii="Times New Roman" w:eastAsia="Times New Roman" w:hAnsi="Times New Roman" w:cs="Times New Roman"/>
                <w:sz w:val="20"/>
                <w:szCs w:val="20"/>
              </w:rPr>
            </w:pPr>
          </w:p>
        </w:tc>
      </w:tr>
    </w:tbl>
    <w:p w:rsidR="006B0710" w:rsidRDefault="006B0710" w:rsidP="006B0710">
      <w:pPr>
        <w:rPr>
          <w:rFonts w:ascii="Helvetica" w:hAnsi="Helvetica" w:cs="Helvetica"/>
          <w:vanish/>
          <w:color w:val="0B0C0C"/>
          <w:sz w:val="24"/>
          <w:szCs w:val="24"/>
          <w:lang w:val="en"/>
        </w:rPr>
      </w:pPr>
    </w:p>
    <w:tbl>
      <w:tblPr>
        <w:tblW w:w="0" w:type="auto"/>
        <w:jc w:val="center"/>
        <w:tblCellMar>
          <w:left w:w="0" w:type="dxa"/>
          <w:right w:w="0" w:type="dxa"/>
        </w:tblCellMar>
        <w:tblLook w:val="04A0" w:firstRow="1" w:lastRow="0" w:firstColumn="1" w:lastColumn="0" w:noHBand="0" w:noVBand="1"/>
      </w:tblPr>
      <w:tblGrid>
        <w:gridCol w:w="150"/>
        <w:gridCol w:w="8400"/>
        <w:gridCol w:w="150"/>
      </w:tblGrid>
      <w:tr w:rsidR="006B0710" w:rsidTr="006B0710">
        <w:trPr>
          <w:trHeight w:val="300"/>
          <w:jc w:val="center"/>
          <w:hidden/>
        </w:trPr>
        <w:tc>
          <w:tcPr>
            <w:tcW w:w="0" w:type="auto"/>
            <w:vAlign w:val="center"/>
            <w:hideMark/>
          </w:tcPr>
          <w:p w:rsidR="006B0710" w:rsidRDefault="006B0710">
            <w:pPr>
              <w:rPr>
                <w:rFonts w:ascii="Helvetica" w:hAnsi="Helvetica" w:cs="Helvetica"/>
                <w:vanish/>
                <w:color w:val="0B0C0C"/>
                <w:sz w:val="24"/>
                <w:szCs w:val="24"/>
                <w:lang w:val="en"/>
              </w:rPr>
            </w:pPr>
          </w:p>
        </w:tc>
        <w:tc>
          <w:tcPr>
            <w:tcW w:w="630" w:type="dxa"/>
            <w:gridSpan w:val="2"/>
            <w:vAlign w:val="center"/>
            <w:hideMark/>
          </w:tcPr>
          <w:p w:rsidR="006B0710" w:rsidRDefault="006B0710">
            <w:r>
              <w:t> </w:t>
            </w:r>
          </w:p>
        </w:tc>
      </w:tr>
      <w:tr w:rsidR="006B0710" w:rsidTr="006B0710">
        <w:trPr>
          <w:jc w:val="center"/>
        </w:trPr>
        <w:tc>
          <w:tcPr>
            <w:tcW w:w="150" w:type="dxa"/>
            <w:vAlign w:val="center"/>
            <w:hideMark/>
          </w:tcPr>
          <w:p w:rsidR="006B0710" w:rsidRDefault="006B0710"/>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6B0710">
              <w:trPr>
                <w:jc w:val="center"/>
              </w:trPr>
              <w:tc>
                <w:tcPr>
                  <w:tcW w:w="0" w:type="auto"/>
                  <w:vAlign w:val="center"/>
                  <w:hideMark/>
                </w:tcPr>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Dear Consultee, </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Council is beginning work on the new Local Plan for Buckinghamshire (LP4B). The LP4B will allocate sites for development in the period up to 2040 to meet the housing and economic development needs of Buckinghamshire. </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We are keen to ensure that when new development takes place, it is sustainable and makes best use of available land. To achieve this, we have undertaken two ‘Call for Brownfield Sites’ consultations where we asked for previously developed land to be submitted for consideration. During this process, we received over 300 submissions of brownfield sites. A list and map of these sites can be found at:</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hyperlink r:id="rId6" w:history="1">
                    <w:r>
                      <w:rPr>
                        <w:rStyle w:val="Hyperlink"/>
                        <w:rFonts w:ascii="Helvetica" w:hAnsi="Helvetica" w:cs="Helvetica"/>
                        <w:sz w:val="29"/>
                        <w:szCs w:val="29"/>
                      </w:rPr>
                      <w:t>www.buckinghamshire.gov.uk/brownfield-sites</w:t>
                    </w:r>
                  </w:hyperlink>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Not all of the brownfield sites submitted to the council previously will be suitable, achievable and available, this will be assessed by the Council in the Housing and Economic Land Availability Assessments (HELAA). </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Buckinghamshire Council is still committed to ‘Brown before Green’, however, based on what we currently understand our needs to be and an initial assessment of the brownfield sites submitted to us, it is important to also understand what further sites are available to ensure we have enough capacity to meet our future needs. </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This means we are now undertaking a ‘Wider Call for Sites’ (including Greenfield sites) to gather a fuller understanding of the land available for development within Buckinghamshire. All of the sites that are submitted to us through this Call for Sites consultation, and the previous two Call for Sites consultations, </w:t>
                  </w:r>
                  <w:r>
                    <w:rPr>
                      <w:rFonts w:ascii="Helvetica" w:hAnsi="Helvetica" w:cs="Helvetica"/>
                      <w:color w:val="0B0C0C"/>
                      <w:sz w:val="29"/>
                      <w:szCs w:val="29"/>
                    </w:rPr>
                    <w:lastRenderedPageBreak/>
                    <w:t>will be technically assessed in the HELAA. This will assess sites for their suitability, availability and achievability (including viability) to accommodate development. To give you an indication on how this process will be undertaken, we have published our draft methodology which can be found at:</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hyperlink r:id="rId7" w:history="1">
                    <w:r>
                      <w:rPr>
                        <w:rStyle w:val="Hyperlink"/>
                        <w:rFonts w:ascii="Helvetica" w:hAnsi="Helvetica" w:cs="Helvetica"/>
                        <w:sz w:val="29"/>
                        <w:szCs w:val="29"/>
                      </w:rPr>
                      <w:t>www.buckinghamshire.gov.uk/helaa</w:t>
                    </w:r>
                  </w:hyperlink>
                  <w:r>
                    <w:rPr>
                      <w:rFonts w:ascii="Helvetica" w:hAnsi="Helvetica" w:cs="Helvetica"/>
                      <w:color w:val="0B0C0C"/>
                      <w:sz w:val="29"/>
                      <w:szCs w:val="29"/>
                    </w:rPr>
                    <w:t xml:space="preserve"> </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In addition to this, further information is available in government guidance about Housing and Economic Land Availability Assessments (HELAA). This can be viewed at:</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hyperlink r:id="rId8" w:history="1">
                    <w:r>
                      <w:rPr>
                        <w:rStyle w:val="Hyperlink"/>
                        <w:rFonts w:ascii="Helvetica" w:hAnsi="Helvetica" w:cs="Helvetica"/>
                        <w:sz w:val="29"/>
                        <w:szCs w:val="29"/>
                      </w:rPr>
                      <w:t>www.gov.uk/guidance/housing-and-economic-land-availability-assessment</w:t>
                    </w:r>
                  </w:hyperlink>
                  <w:r>
                    <w:rPr>
                      <w:rFonts w:ascii="Helvetica" w:hAnsi="Helvetica" w:cs="Helvetica"/>
                      <w:color w:val="0B0C0C"/>
                      <w:sz w:val="29"/>
                      <w:szCs w:val="29"/>
                    </w:rPr>
                    <w:t>.</w:t>
                  </w:r>
                </w:p>
                <w:p w:rsidR="006B0710" w:rsidRDefault="006B071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This Call for Sites is open from 13 June 2022 until 11 September 2022, although sites submitted after this may still be considered</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You can identify a site by:</w:t>
                  </w:r>
                </w:p>
                <w:tbl>
                  <w:tblPr>
                    <w:tblW w:w="0" w:type="auto"/>
                    <w:tblCellSpacing w:w="15" w:type="dxa"/>
                    <w:tblCellMar>
                      <w:left w:w="0" w:type="dxa"/>
                      <w:right w:w="0" w:type="dxa"/>
                    </w:tblCellMar>
                    <w:tblLook w:val="04A0" w:firstRow="1" w:lastRow="0" w:firstColumn="1" w:lastColumn="0" w:noHBand="0" w:noVBand="1"/>
                  </w:tblPr>
                  <w:tblGrid>
                    <w:gridCol w:w="5509"/>
                  </w:tblGrid>
                  <w:tr w:rsidR="006B0710">
                    <w:trPr>
                      <w:tblCellSpacing w:w="15" w:type="dxa"/>
                    </w:trPr>
                    <w:tc>
                      <w:tcPr>
                        <w:tcW w:w="0" w:type="auto"/>
                        <w:tcMar>
                          <w:top w:w="0" w:type="dxa"/>
                          <w:left w:w="0" w:type="dxa"/>
                          <w:bottom w:w="300" w:type="dxa"/>
                          <w:right w:w="0" w:type="dxa"/>
                        </w:tcMar>
                        <w:vAlign w:val="center"/>
                        <w:hideMark/>
                      </w:tcPr>
                      <w:p w:rsidR="006B0710" w:rsidRDefault="006B0710" w:rsidP="00DC74C7">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Using the online form available at:</w:t>
                        </w:r>
                      </w:p>
                    </w:tc>
                  </w:tr>
                </w:tbl>
                <w:p w:rsidR="006B0710" w:rsidRDefault="006B0710">
                  <w:pPr>
                    <w:pStyle w:val="NormalWeb"/>
                    <w:spacing w:before="0" w:beforeAutospacing="0" w:after="300" w:afterAutospacing="0" w:line="375" w:lineRule="atLeast"/>
                    <w:rPr>
                      <w:rFonts w:ascii="Helvetica" w:hAnsi="Helvetica" w:cs="Helvetica"/>
                      <w:color w:val="0B0C0C"/>
                      <w:sz w:val="29"/>
                      <w:szCs w:val="29"/>
                    </w:rPr>
                  </w:pPr>
                  <w:hyperlink r:id="rId9" w:history="1">
                    <w:r>
                      <w:rPr>
                        <w:rStyle w:val="Hyperlink"/>
                        <w:rFonts w:ascii="Helvetica" w:hAnsi="Helvetica" w:cs="Helvetica"/>
                        <w:sz w:val="29"/>
                        <w:szCs w:val="29"/>
                      </w:rPr>
                      <w:t>www.buckinghamshire.oc2.uk/document/12</w:t>
                    </w:r>
                  </w:hyperlink>
                </w:p>
                <w:tbl>
                  <w:tblPr>
                    <w:tblW w:w="0" w:type="auto"/>
                    <w:tblCellSpacing w:w="15" w:type="dxa"/>
                    <w:tblCellMar>
                      <w:left w:w="0" w:type="dxa"/>
                      <w:right w:w="0" w:type="dxa"/>
                    </w:tblCellMar>
                    <w:tblLook w:val="04A0" w:firstRow="1" w:lastRow="0" w:firstColumn="1" w:lastColumn="0" w:noHBand="0" w:noVBand="1"/>
                  </w:tblPr>
                  <w:tblGrid>
                    <w:gridCol w:w="5347"/>
                  </w:tblGrid>
                  <w:tr w:rsidR="006B0710">
                    <w:trPr>
                      <w:tblCellSpacing w:w="15" w:type="dxa"/>
                    </w:trPr>
                    <w:tc>
                      <w:tcPr>
                        <w:tcW w:w="0" w:type="auto"/>
                        <w:tcMar>
                          <w:top w:w="0" w:type="dxa"/>
                          <w:left w:w="0" w:type="dxa"/>
                          <w:bottom w:w="300" w:type="dxa"/>
                          <w:right w:w="0" w:type="dxa"/>
                        </w:tcMar>
                        <w:vAlign w:val="center"/>
                        <w:hideMark/>
                      </w:tcPr>
                      <w:p w:rsidR="006B0710" w:rsidRDefault="006B0710" w:rsidP="00DC74C7">
                        <w:pPr>
                          <w:numPr>
                            <w:ilvl w:val="0"/>
                            <w:numId w:val="2"/>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Download a call for sites form at:</w:t>
                        </w:r>
                      </w:p>
                    </w:tc>
                  </w:tr>
                </w:tbl>
                <w:p w:rsidR="006B0710" w:rsidRDefault="006B0710">
                  <w:pPr>
                    <w:pStyle w:val="NormalWeb"/>
                    <w:spacing w:before="0" w:beforeAutospacing="0" w:after="300" w:afterAutospacing="0" w:line="375" w:lineRule="atLeast"/>
                    <w:rPr>
                      <w:rFonts w:ascii="Helvetica" w:hAnsi="Helvetica" w:cs="Helvetica"/>
                      <w:color w:val="0B0C0C"/>
                      <w:sz w:val="29"/>
                      <w:szCs w:val="29"/>
                    </w:rPr>
                  </w:pPr>
                  <w:hyperlink r:id="rId10" w:history="1">
                    <w:r>
                      <w:rPr>
                        <w:rStyle w:val="Hyperlink"/>
                        <w:rFonts w:ascii="Helvetica" w:hAnsi="Helvetica" w:cs="Helvetica"/>
                        <w:sz w:val="29"/>
                        <w:szCs w:val="29"/>
                      </w:rPr>
                      <w:t>www.buckinghamshire.gov.uk/wider-call-for-sites</w:t>
                    </w:r>
                  </w:hyperlink>
                  <w:r>
                    <w:rPr>
                      <w:rFonts w:ascii="Helvetica" w:hAnsi="Helvetica" w:cs="Helvetica"/>
                      <w:color w:val="0B0C0C"/>
                      <w:sz w:val="29"/>
                      <w:szCs w:val="29"/>
                    </w:rPr>
                    <w:t xml:space="preserve"> </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Completed forms can be returned by email to </w:t>
                  </w:r>
                  <w:hyperlink r:id="rId11" w:history="1">
                    <w:r>
                      <w:rPr>
                        <w:rStyle w:val="Hyperlink"/>
                        <w:rFonts w:ascii="Helvetica" w:hAnsi="Helvetica" w:cs="Helvetica"/>
                        <w:sz w:val="29"/>
                        <w:szCs w:val="29"/>
                      </w:rPr>
                      <w:t>planningpolicyteam.bc@buckinghamshire.gov.uk</w:t>
                    </w:r>
                  </w:hyperlink>
                  <w:r>
                    <w:rPr>
                      <w:rFonts w:ascii="Helvetica" w:hAnsi="Helvetica" w:cs="Helvetica"/>
                      <w:color w:val="0B0C0C"/>
                      <w:sz w:val="29"/>
                      <w:szCs w:val="29"/>
                    </w:rPr>
                    <w:t xml:space="preserve"> or by post to:</w:t>
                  </w:r>
                  <w:r>
                    <w:rPr>
                      <w:rFonts w:ascii="Helvetica" w:hAnsi="Helvetica" w:cs="Helvetica"/>
                      <w:color w:val="0B0C0C"/>
                      <w:sz w:val="29"/>
                      <w:szCs w:val="29"/>
                    </w:rPr>
                    <w:br/>
                    <w:t>Call for Sites</w:t>
                  </w:r>
                  <w:r>
                    <w:rPr>
                      <w:rFonts w:ascii="Helvetica" w:hAnsi="Helvetica" w:cs="Helvetica"/>
                      <w:color w:val="0B0C0C"/>
                      <w:sz w:val="29"/>
                      <w:szCs w:val="29"/>
                    </w:rPr>
                    <w:br/>
                    <w:t>Planning Policy</w:t>
                  </w:r>
                  <w:r>
                    <w:rPr>
                      <w:rFonts w:ascii="Helvetica" w:hAnsi="Helvetica" w:cs="Helvetica"/>
                      <w:color w:val="0B0C0C"/>
                      <w:sz w:val="29"/>
                      <w:szCs w:val="29"/>
                    </w:rPr>
                    <w:br/>
                    <w:t>Buckinghamshire Council</w:t>
                  </w:r>
                  <w:r>
                    <w:rPr>
                      <w:rFonts w:ascii="Helvetica" w:hAnsi="Helvetica" w:cs="Helvetica"/>
                      <w:color w:val="0B0C0C"/>
                      <w:sz w:val="29"/>
                      <w:szCs w:val="29"/>
                    </w:rPr>
                    <w:br/>
                    <w:t>Queen Victoria Road</w:t>
                  </w:r>
                  <w:r>
                    <w:rPr>
                      <w:rFonts w:ascii="Helvetica" w:hAnsi="Helvetica" w:cs="Helvetica"/>
                      <w:color w:val="0B0C0C"/>
                      <w:sz w:val="29"/>
                      <w:szCs w:val="29"/>
                    </w:rPr>
                    <w:br/>
                  </w:r>
                  <w:r>
                    <w:rPr>
                      <w:rFonts w:ascii="Helvetica" w:hAnsi="Helvetica" w:cs="Helvetica"/>
                      <w:color w:val="0B0C0C"/>
                      <w:sz w:val="29"/>
                      <w:szCs w:val="29"/>
                    </w:rPr>
                    <w:lastRenderedPageBreak/>
                    <w:t>High Wycombe</w:t>
                  </w:r>
                  <w:r>
                    <w:rPr>
                      <w:rFonts w:ascii="Helvetica" w:hAnsi="Helvetica" w:cs="Helvetica"/>
                      <w:color w:val="0B0C0C"/>
                      <w:sz w:val="29"/>
                      <w:szCs w:val="29"/>
                    </w:rPr>
                    <w:br/>
                    <w:t>HP11 1BB</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Thank you for taking part in this important work for the new Local Plan for Buckinghamshire.</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Kind regards, </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Chris Schmidt-Reid</w:t>
                  </w:r>
                </w:p>
                <w:p w:rsidR="006B0710" w:rsidRDefault="006B071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Planning Policy Team Leader</w:t>
                  </w:r>
                  <w:r>
                    <w:rPr>
                      <w:rFonts w:ascii="Helvetica" w:hAnsi="Helvetica" w:cs="Helvetica"/>
                      <w:color w:val="0B0C0C"/>
                      <w:sz w:val="29"/>
                      <w:szCs w:val="29"/>
                    </w:rPr>
                    <w:br/>
                    <w:t>Planning, Growth and Sustainability</w:t>
                  </w:r>
                  <w:r>
                    <w:rPr>
                      <w:rFonts w:ascii="Helvetica" w:hAnsi="Helvetica" w:cs="Helvetica"/>
                      <w:color w:val="0B0C0C"/>
                      <w:sz w:val="29"/>
                      <w:szCs w:val="29"/>
                    </w:rPr>
                    <w:br/>
                    <w:t>Buckinghamshire Council</w:t>
                  </w:r>
                </w:p>
              </w:tc>
            </w:tr>
          </w:tbl>
          <w:p w:rsidR="006B0710" w:rsidRDefault="006B0710">
            <w:pPr>
              <w:jc w:val="center"/>
              <w:rPr>
                <w:rFonts w:ascii="Times New Roman" w:eastAsia="Times New Roman" w:hAnsi="Times New Roman" w:cs="Times New Roman"/>
                <w:sz w:val="20"/>
                <w:szCs w:val="20"/>
              </w:rPr>
            </w:pPr>
          </w:p>
        </w:tc>
        <w:tc>
          <w:tcPr>
            <w:tcW w:w="150" w:type="dxa"/>
            <w:vAlign w:val="center"/>
            <w:hideMark/>
          </w:tcPr>
          <w:p w:rsidR="006B0710" w:rsidRDefault="006B0710">
            <w:pPr>
              <w:rPr>
                <w:rFonts w:ascii="Times New Roman" w:eastAsia="Times New Roman" w:hAnsi="Times New Roman" w:cs="Times New Roman"/>
                <w:sz w:val="20"/>
                <w:szCs w:val="20"/>
              </w:rPr>
            </w:pPr>
          </w:p>
        </w:tc>
        <w:bookmarkStart w:id="0" w:name="_GoBack"/>
        <w:bookmarkEnd w:id="0"/>
      </w:tr>
      <w:tr w:rsidR="006B0710" w:rsidTr="006B0710">
        <w:trPr>
          <w:trHeight w:val="300"/>
          <w:jc w:val="center"/>
        </w:trPr>
        <w:tc>
          <w:tcPr>
            <w:tcW w:w="0" w:type="auto"/>
            <w:vAlign w:val="center"/>
            <w:hideMark/>
          </w:tcPr>
          <w:p w:rsidR="006B0710" w:rsidRDefault="006B0710">
            <w:pPr>
              <w:rPr>
                <w:rFonts w:ascii="Times New Roman" w:eastAsia="Times New Roman" w:hAnsi="Times New Roman" w:cs="Times New Roman"/>
                <w:sz w:val="20"/>
                <w:szCs w:val="20"/>
              </w:rPr>
            </w:pPr>
          </w:p>
        </w:tc>
        <w:tc>
          <w:tcPr>
            <w:tcW w:w="0" w:type="auto"/>
            <w:vAlign w:val="center"/>
            <w:hideMark/>
          </w:tcPr>
          <w:p w:rsidR="006B0710" w:rsidRDefault="006B0710">
            <w:pPr>
              <w:rPr>
                <w:rFonts w:ascii="Times New Roman" w:eastAsia="Times New Roman" w:hAnsi="Times New Roman" w:cs="Times New Roman"/>
                <w:sz w:val="20"/>
                <w:szCs w:val="20"/>
              </w:rPr>
            </w:pPr>
          </w:p>
        </w:tc>
        <w:tc>
          <w:tcPr>
            <w:tcW w:w="0" w:type="auto"/>
            <w:vAlign w:val="center"/>
            <w:hideMark/>
          </w:tcPr>
          <w:p w:rsidR="006B0710" w:rsidRDefault="006B0710">
            <w:pPr>
              <w:rPr>
                <w:rFonts w:ascii="Times New Roman" w:eastAsia="Times New Roman" w:hAnsi="Times New Roman" w:cs="Times New Roman"/>
                <w:sz w:val="20"/>
                <w:szCs w:val="20"/>
              </w:rPr>
            </w:pPr>
          </w:p>
        </w:tc>
      </w:tr>
    </w:tbl>
    <w:p w:rsidR="006B0710" w:rsidRDefault="006B0710" w:rsidP="006B0710"/>
    <w:p w:rsidR="00F12CFB" w:rsidRDefault="006B0710"/>
    <w:sectPr w:rsidR="00F12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45E5"/>
    <w:multiLevelType w:val="multilevel"/>
    <w:tmpl w:val="3D7AF3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54F33F84"/>
    <w:multiLevelType w:val="multilevel"/>
    <w:tmpl w:val="B4C697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10"/>
    <w:rsid w:val="001A0A8F"/>
    <w:rsid w:val="003B103F"/>
    <w:rsid w:val="003E15DE"/>
    <w:rsid w:val="00530170"/>
    <w:rsid w:val="006B0710"/>
    <w:rsid w:val="006E47F2"/>
    <w:rsid w:val="007D5010"/>
    <w:rsid w:val="00815999"/>
    <w:rsid w:val="008E1D9E"/>
    <w:rsid w:val="00CA603D"/>
    <w:rsid w:val="00E83B6D"/>
    <w:rsid w:val="00F3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9904A-D0FE-4DC1-928A-A5677A26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10"/>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6B071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0710"/>
    <w:rPr>
      <w:rFonts w:ascii="Calibri" w:hAnsi="Calibri" w:cs="Calibri"/>
      <w:b/>
      <w:bCs/>
      <w:sz w:val="36"/>
      <w:szCs w:val="36"/>
      <w:lang w:eastAsia="en-GB"/>
    </w:rPr>
  </w:style>
  <w:style w:type="character" w:styleId="Hyperlink">
    <w:name w:val="Hyperlink"/>
    <w:basedOn w:val="DefaultParagraphFont"/>
    <w:uiPriority w:val="99"/>
    <w:semiHidden/>
    <w:unhideWhenUsed/>
    <w:rsid w:val="006B0710"/>
    <w:rPr>
      <w:color w:val="0563C1"/>
      <w:u w:val="single"/>
    </w:rPr>
  </w:style>
  <w:style w:type="paragraph" w:styleId="NormalWeb">
    <w:name w:val="Normal (Web)"/>
    <w:basedOn w:val="Normal"/>
    <w:uiPriority w:val="99"/>
    <w:semiHidden/>
    <w:unhideWhenUsed/>
    <w:rsid w:val="006B071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housing-and-economic-land-availability-assess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ckinghamshire.gov.uk/hel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ckinghamshire.gov.uk/brownfield-sites" TargetMode="External"/><Relationship Id="rId11" Type="http://schemas.openxmlformats.org/officeDocument/2006/relationships/hyperlink" Target="mailto:planningpolicyteam.bc@buckinghamshire.gov.uk" TargetMode="External"/><Relationship Id="rId5" Type="http://schemas.openxmlformats.org/officeDocument/2006/relationships/image" Target="media/image1.png"/><Relationship Id="rId10" Type="http://schemas.openxmlformats.org/officeDocument/2006/relationships/hyperlink" Target="http://www.buckinghamshire.gov.uk/wider-call-for-sites" TargetMode="External"/><Relationship Id="rId4" Type="http://schemas.openxmlformats.org/officeDocument/2006/relationships/webSettings" Target="webSettings.xml"/><Relationship Id="rId9" Type="http://schemas.openxmlformats.org/officeDocument/2006/relationships/hyperlink" Target="http://www.buckinghamshire.oc2.uk/document/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2022-08-03T10:13:00Z</dcterms:created>
  <dcterms:modified xsi:type="dcterms:W3CDTF">2022-08-03T10:16:00Z</dcterms:modified>
</cp:coreProperties>
</file>